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Ashby</w:t>
      </w:r>
      <w:r>
        <w:rPr>
          <w:vertAlign w:val="superscript"/>
        </w:rPr>
        <w:t xml:space="preserve">2</w:t>
      </w:r>
      <w:r>
        <w:t xml:space="preserve">,</w:t>
      </w:r>
      <w:r>
        <w:t xml:space="preserve"> </w:t>
      </w:r>
      <w:r>
        <w:t xml:space="preserve">Jeanne Jacobs</w:t>
      </w:r>
      <w:r>
        <w:rPr>
          <w:vertAlign w:val="superscript"/>
        </w:rPr>
        <w:t xml:space="preserve">2</w:t>
      </w:r>
      <w:r>
        <w:t xml:space="preserve">,</w:t>
      </w:r>
      <w:r>
        <w:t xml:space="preserve"> </w:t>
      </w:r>
      <w:r>
        <w:t xml:space="preserve">Stephen Goldson</w:t>
      </w:r>
      <w:r>
        <w:rPr>
          <w:vertAlign w:val="superscript"/>
        </w:rPr>
        <w:t xml:space="preserve">2,3</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Private Bag 4749, Christchurch 8140, New Zealand</w:t>
      </w:r>
      <w:r>
        <w:br/>
      </w:r>
      <w:r>
        <w:rPr>
          <w:vertAlign w:val="superscript"/>
        </w:rPr>
        <w:t xml:space="preserve">3</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w:t>
      </w:r>
      <w:r>
        <w:t xml:space="preserve"> </w:t>
      </w:r>
      <w:r>
        <w:t xml:space="preserve">[9,10]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Sourth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map in Figure 1 was plotted with the ggmap package for ggplot2</w:t>
      </w:r>
      <w:r>
        <w:t xml:space="preserve"> </w:t>
      </w:r>
      <w:r>
        <w:t xml:space="preserve">[23]</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4">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5">
        <w:r>
          <w:rPr>
            <w:rStyle w:val="InternetLink"/>
          </w:rPr>
          <w:t xml:space="preserve">github.com/TomHarrop/asw-flye-withpool</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6"/>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[36]</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[36]</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[37]</w:t>
      </w:r>
      <w:r>
        <w:t xml:space="preserve"> </w:t>
      </w:r>
      <w:r>
        <w:t xml:space="preserve">to prune sites in linkage disequilibrium for principal components analysis and discriminant analysis of principal components with the adegenet 2.1.2 package for R</w:t>
      </w:r>
      <w:r>
        <w:t xml:space="preserve"> </w:t>
      </w:r>
      <w:r>
        <w:t xml:space="preserve">[38,39]</w:t>
      </w:r>
      <w:r>
        <w:t xml:space="preserve">.</w:t>
      </w:r>
      <w:r>
        <w:t xml:space="preserve"> </w:t>
      </w:r>
      <w:r>
        <w:t xml:space="preserve">We used PGDSpider 2.1.1.5</w:t>
      </w:r>
      <w:r>
        <w:t xml:space="preserve"> </w:t>
      </w:r>
      <w:r>
        <w:t xml:space="preserve">[40]</w:t>
      </w:r>
      <w:r>
        <w:t xml:space="preserve"> </w:t>
      </w:r>
      <w:r>
        <w:t xml:space="preserve">to convert the un-pruned dataset for detection of loci under selection with BayeScan 2.1</w:t>
      </w:r>
      <w:r>
        <w:t xml:space="preserve"> </w:t>
      </w:r>
      <w:r>
        <w:t xml:space="preserve">[41]</w:t>
      </w:r>
      <w:r>
        <w:t xml:space="preserve">.</w:t>
      </w:r>
      <w:r>
        <w:t xml:space="preserve"> </w:t>
      </w:r>
      <w:r>
        <w:t xml:space="preserve">After statistically phasing SNPs from the un-pruned dataset with SHAPEIT v2 r904</w:t>
      </w:r>
      <w:r>
        <w:t xml:space="preserve"> </w:t>
      </w:r>
      <w:r>
        <w:t xml:space="preserve">[42]</w:t>
      </w:r>
      <w:r>
        <w:t xml:space="preserve">, we analysed cross-population extended haplotype homozygosity with the R package rehh 3.1.0</w:t>
      </w:r>
      <w:r>
        <w:t xml:space="preserve"> </w:t>
      </w:r>
      <w:r>
        <w:t xml:space="preserve">[43]</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[44]</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[45]</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[46]</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[47]</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[36]</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[38]</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DPAC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[48,49]</w:t>
      </w:r>
      <w:r>
        <w:t xml:space="preserve">.</w:t>
      </w:r>
      <w:r>
        <w:t xml:space="preserve"> </w:t>
      </w:r>
      <w:r>
        <w:t xml:space="preserve">Both methods identified putative SNPs under selection in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Main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fig/single_contig_fs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Main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[41]</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[48,49]</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[41]</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41] (Q &lt; 0.01) or cross-population extended haplotype homozygosity (XPEHH) analysis [48,49] (-log10p &gt; 4). α is BayeScan’s locus-specific component of FST coefficient [41].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7"/>
        </w:numPr>
        <w:pStyle w:val="Compact"/>
      </w:pPr>
      <w:r>
        <w:t xml:space="preserve">model 1: single introduction then bottleneck, spread, diversification, and gene flow.</w:t>
      </w:r>
    </w:p>
    <w:p>
      <w:pPr>
        <w:numPr>
          <w:ilvl w:val="0"/>
          <w:numId w:val="1007"/>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7"/>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7"/>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w:t>
      </w:r>
      <w:r>
        <w:t xml:space="preserve"> </w:t>
      </w:r>
      <w:r>
        <w:rPr>
          <w:i/>
        </w:rPr>
        <w:t xml:space="preserve">M. hyperodae</w:t>
      </w:r>
      <w:r>
        <w:t xml:space="preserve"> </w:t>
      </w:r>
      <w:r>
        <w:t xml:space="preserve">in New Zealand populations of ASW.</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[50,51]</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rPr>
          <w:b/>
        </w:rPr>
        <w:t xml:space="preserve">Stephen - I’ve tried to spell the above paragraph out a bit more explicitly. Is it unclear, or do you disagree with the argument?</w:t>
      </w:r>
    </w:p>
    <w:p>
      <w:pPr>
        <w:pStyle w:val="TextBody"/>
      </w:pPr>
      <w:r>
        <w:t xml:space="preserve">Two draft weevil (family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[52]</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[53]</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Argentine stem weevil genome of 1.1 GB is larger than other available weevil genomes, although the contiguity statistics and BUSCO scores indicate draft quality.</w:t>
      </w:r>
      <w:r>
        <w:t xml:space="preserve"> </w:t>
      </w:r>
      <w:r>
        <w:t xml:space="preserve">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 at least 70% (Table 1), with</w:t>
      </w:r>
      <w:r>
        <w:t xml:space="preserve"> </w:t>
      </w:r>
      <w:r>
        <w:rPr>
          <w:b/>
        </w:rPr>
        <w:t xml:space="preserve">a maximum repeat size of 17.7 kb and a repeat</w:t>
      </w:r>
      <w:r>
        <w:rPr>
          <w:b/>
        </w:rPr>
        <w:t xml:space="preserve"> </w:t>
      </w:r>
      <w:r>
        <w:rPr>
          <w:i/>
          <w:b/>
        </w:rPr>
        <w:t xml:space="preserve">N</w:t>
      </w:r>
      <w:r>
        <w:rPr>
          <w:vertAlign w:val="subscript"/>
          <w:b/>
        </w:rPr>
        <w:t xml:space="preserve">50</w:t>
      </w:r>
      <w:r>
        <w:rPr>
          <w:b/>
        </w:rPr>
        <w:t xml:space="preserve"> </w:t>
      </w:r>
      <w:r>
        <w:rPr>
          <w:b/>
        </w:rPr>
        <w:t xml:space="preserve">length of 485 bp. (check)</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The high number of multiple-copy genes in the combined, long read genome highlights the difficulty of assembling repetitive genomes from small, heterozygous organisms.</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section"/>
      <w:bookmarkEnd w:id="52"/>
    </w:p>
    <w:p>
      <w:pPr>
        <w:pStyle w:val="Heading3"/>
      </w:pPr>
      <w:bookmarkStart w:id="53" w:name="authors-contributions"/>
      <w:r>
        <w:t xml:space="preserve">Authors’ contributions</w:t>
      </w:r>
      <w:bookmarkEnd w:id="53"/>
    </w:p>
    <w:p>
      <w:pPr>
        <w:pStyle w:val="FirstParagraph"/>
      </w:pPr>
      <w:r>
        <w:t xml:space="preserve">Conceptualization, TWRH, SG, PKD;</w:t>
      </w:r>
      <w:r>
        <w:t xml:space="preserve"> </w:t>
      </w:r>
      <w:r>
        <w:t xml:space="preserve">data collection, TWRH, ST, SI,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4" w:name="acknowledgements"/>
      <w:r>
        <w:t xml:space="preserve">Acknowledgements</w:t>
      </w:r>
      <w:bookmarkEnd w:id="54"/>
    </w:p>
    <w:p>
      <w:pPr>
        <w:numPr>
          <w:ilvl w:val="0"/>
          <w:numId w:val="1008"/>
        </w:numPr>
        <w:pStyle w:val="Compact"/>
      </w:pPr>
      <w:r>
        <w:rPr>
          <w:b/>
        </w:rPr>
        <w:t xml:space="preserve">Stephen, please add your dissection crew here (or to author list)</w:t>
      </w:r>
    </w:p>
    <w:p>
      <w:pPr>
        <w:numPr>
          <w:ilvl w:val="0"/>
          <w:numId w:val="1008"/>
        </w:numPr>
        <w:pStyle w:val="Compact"/>
      </w:pPr>
      <w:r>
        <w:t xml:space="preserve">Diane Barton and Colin Ferguson for help with collections;</w:t>
      </w:r>
    </w:p>
    <w:p>
      <w:pPr>
        <w:numPr>
          <w:ilvl w:val="0"/>
          <w:numId w:val="1008"/>
        </w:numPr>
        <w:pStyle w:val="Compact"/>
      </w:pPr>
      <w:r>
        <w:t xml:space="preserve">Joseph Guhlin for help with funannotate.</w:t>
      </w:r>
    </w:p>
    <w:p>
      <w:pPr>
        <w:pStyle w:val="Heading3"/>
      </w:pPr>
      <w:bookmarkStart w:id="55" w:name="data-availability"/>
      <w:r>
        <w:t xml:space="preserve">Data availability</w:t>
      </w:r>
      <w:bookmarkEnd w:id="55"/>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6" w:name="references"/>
      <w:r>
        <w:t xml:space="preserve">References</w:t>
      </w:r>
      <w:bookmarkEnd w:id="56"/>
    </w:p>
    <w:bookmarkStart w:id="156" w:name="refs"/>
    <w:bookmarkStart w:id="58"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7">
        <w:r>
          <w:rPr>
            <w:rStyle w:val="InternetLink"/>
          </w:rPr>
          <w:t xml:space="preserve">10.1007/978-94-011-4014-0_1</w:t>
        </w:r>
      </w:hyperlink>
      <w:r>
        <w:t xml:space="preserve">.</w:t>
      </w:r>
    </w:p>
    <w:bookmarkEnd w:id="58"/>
    <w:bookmarkStart w:id="60"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59">
        <w:r>
          <w:rPr>
            <w:rStyle w:val="InternetLink"/>
          </w:rPr>
          <w:t xml:space="preserve">10.1890/0012-9658(1997)078[1673:WIBCES]2.0.CO;2</w:t>
        </w:r>
      </w:hyperlink>
      <w:r>
        <w:t xml:space="preserve">.</w:t>
      </w:r>
    </w:p>
    <w:bookmarkEnd w:id="60"/>
    <w:bookmarkStart w:id="62"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1">
        <w:r>
          <w:rPr>
            <w:rStyle w:val="InternetLink"/>
          </w:rPr>
          <w:t xml:space="preserve">10.1053/tvjl.1999.0440</w:t>
        </w:r>
      </w:hyperlink>
      <w:r>
        <w:t xml:space="preserve">.</w:t>
      </w:r>
    </w:p>
    <w:bookmarkEnd w:id="62"/>
    <w:bookmarkStart w:id="64"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3">
        <w:r>
          <w:rPr>
            <w:rStyle w:val="InternetLink"/>
          </w:rPr>
          <w:t xml:space="preserve">10.1038/35015069</w:t>
        </w:r>
      </w:hyperlink>
      <w:r>
        <w:t xml:space="preserve">.</w:t>
      </w:r>
    </w:p>
    <w:bookmarkEnd w:id="64"/>
    <w:bookmarkStart w:id="66"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5">
        <w:r>
          <w:rPr>
            <w:rStyle w:val="InternetLink"/>
          </w:rPr>
          <w:t xml:space="preserve">10.1080/00288233.2018.1478860</w:t>
        </w:r>
      </w:hyperlink>
      <w:r>
        <w:t xml:space="preserve">.</w:t>
      </w:r>
    </w:p>
    <w:bookmarkEnd w:id="66"/>
    <w:bookmarkStart w:id="68"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Journal of Insect Science</w:t>
      </w:r>
      <w:r>
        <w:t xml:space="preserve"> </w:t>
      </w:r>
      <w:r>
        <w:rPr>
          <w:b/>
        </w:rPr>
        <w:t xml:space="preserve">2020</w:t>
      </w:r>
      <w:r>
        <w:t xml:space="preserve">,</w:t>
      </w:r>
      <w:r>
        <w:t xml:space="preserve"> </w:t>
      </w:r>
      <w:r>
        <w:rPr>
          <w:i/>
        </w:rPr>
        <w:t xml:space="preserve">20</w:t>
      </w:r>
      <w:r>
        <w:t xml:space="preserve">. doi:</w:t>
      </w:r>
      <w:r>
        <w:t xml:space="preserve"> </w:t>
      </w:r>
      <w:hyperlink r:id="rId67">
        <w:r>
          <w:rPr>
            <w:rStyle w:val="InternetLink"/>
          </w:rPr>
          <w:t xml:space="preserve">10.1093/jisesa/ieaa018</w:t>
        </w:r>
      </w:hyperlink>
      <w:r>
        <w:t xml:space="preserve">.</w:t>
      </w:r>
    </w:p>
    <w:bookmarkEnd w:id="68"/>
    <w:bookmarkStart w:id="69" w:name="ref-barkerArgentineStemWeevil1993"/>
    <w:p>
      <w:pPr>
        <w:pStyle w:val="Bibliography"/>
      </w:pPr>
      <w:r>
        <w:t xml:space="preserve">7. Barker, G.; Addison, P.J. Argentine stem weevil populations and damage in ryegrass swards of contrasting Acremonium infection. In Proceedings of the Proceedings of the 6th Australasian Conference on Grassland Invertebrate Ecology; 1993.</w:t>
      </w:r>
    </w:p>
    <w:bookmarkEnd w:id="69"/>
    <w:bookmarkStart w:id="70" w:name="ref-prestidgeEconomicCostArgentine1991"/>
    <w:p>
      <w:pPr>
        <w:pStyle w:val="Bibliography"/>
      </w:pPr>
      <w:r>
        <w:t xml:space="preserve">8. Prestidge, R.; Barker, G.; Pottinger, R. The economic cost of Argentine stem weevil in pastures in New Zealand. In Proceedings of the Proceedings of the 44th New Zealand Weed and Pest Control Conference; 1991; Vol. 44, pp. 165–170.</w:t>
      </w:r>
    </w:p>
    <w:bookmarkEnd w:id="70"/>
    <w:bookmarkStart w:id="72"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Proceedings of the New Zealand Weed and Pest Control Conference</w:t>
      </w:r>
      <w:r>
        <w:t xml:space="preserve"> </w:t>
      </w:r>
      <w:r>
        <w:rPr>
          <w:b/>
        </w:rPr>
        <w:t xml:space="preserve">1990</w:t>
      </w:r>
      <w:r>
        <w:t xml:space="preserve">,</w:t>
      </w:r>
      <w:r>
        <w:t xml:space="preserve"> </w:t>
      </w:r>
      <w:r>
        <w:rPr>
          <w:i/>
        </w:rPr>
        <w:t xml:space="preserve">43</w:t>
      </w:r>
      <w:r>
        <w:t xml:space="preserve">, 334–338. doi:</w:t>
      </w:r>
      <w:r>
        <w:t xml:space="preserve"> </w:t>
      </w:r>
      <w:hyperlink r:id="rId71">
        <w:r>
          <w:rPr>
            <w:rStyle w:val="InternetLink"/>
          </w:rPr>
          <w:t xml:space="preserve">10.30843/nzpp.1990.43.10904</w:t>
        </w:r>
      </w:hyperlink>
      <w:r>
        <w:t xml:space="preserve">.</w:t>
      </w:r>
    </w:p>
    <w:bookmarkEnd w:id="72"/>
    <w:bookmarkStart w:id="74"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3">
        <w:r>
          <w:rPr>
            <w:rStyle w:val="InternetLink"/>
          </w:rPr>
          <w:t xml:space="preserve">10.1201/9781420041668.ch12</w:t>
        </w:r>
      </w:hyperlink>
      <w:r>
        <w:t xml:space="preserve">.</w:t>
      </w:r>
    </w:p>
    <w:bookmarkEnd w:id="74"/>
    <w:bookmarkStart w:id="76"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5">
        <w:r>
          <w:rPr>
            <w:rStyle w:val="InternetLink"/>
          </w:rPr>
          <w:t xml:space="preserve">10.1007/s13225-013-0239-4</w:t>
        </w:r>
      </w:hyperlink>
      <w:r>
        <w:t xml:space="preserve">.</w:t>
      </w:r>
    </w:p>
    <w:bookmarkEnd w:id="76"/>
    <w:bookmarkStart w:id="78"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7">
        <w:r>
          <w:rPr>
            <w:rStyle w:val="InternetLink"/>
          </w:rPr>
          <w:t xml:space="preserve">10.1038/nplants.2015.224</w:t>
        </w:r>
      </w:hyperlink>
      <w:r>
        <w:t xml:space="preserve">.</w:t>
      </w:r>
    </w:p>
    <w:bookmarkEnd w:id="78"/>
    <w:bookmarkStart w:id="80" w:name="ref-barkerEarlyImpactEndoparasitoid2006"/>
    <w:p>
      <w:pPr>
        <w:pStyle w:val="Bibliography"/>
      </w:pPr>
      <w:r>
        <w:t xml:space="preserve">13.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79">
        <w:r>
          <w:rPr>
            <w:rStyle w:val="InternetLink"/>
          </w:rPr>
          <w:t xml:space="preserve">10.1093/jee/99.2.273</w:t>
        </w:r>
      </w:hyperlink>
      <w:r>
        <w:t xml:space="preserve">.</w:t>
      </w:r>
    </w:p>
    <w:bookmarkEnd w:id="80"/>
    <w:bookmarkStart w:id="82" w:name="ref-goldsonArgentineStemWeevil2011"/>
    <w:p>
      <w:pPr>
        <w:pStyle w:val="Bibliography"/>
      </w:pPr>
      <w:r>
        <w:t xml:space="preserve">14.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1">
        <w:r>
          <w:rPr>
            <w:rStyle w:val="InternetLink"/>
          </w:rPr>
          <w:t xml:space="preserve">10.1017/S0007485310000507</w:t>
        </w:r>
      </w:hyperlink>
      <w:r>
        <w:t xml:space="preserve">.</w:t>
      </w:r>
    </w:p>
    <w:bookmarkEnd w:id="82"/>
    <w:bookmarkStart w:id="84" w:name="X427b9eb8babf0f6b4017f445287e497782beccb"/>
    <w:p>
      <w:pPr>
        <w:pStyle w:val="Bibliography"/>
      </w:pPr>
      <w:r>
        <w:t xml:space="preserve">15.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83">
        <w:r>
          <w:rPr>
            <w:rStyle w:val="InternetLink"/>
          </w:rPr>
          <w:t xml:space="preserve">10.1603/EN11248</w:t>
        </w:r>
      </w:hyperlink>
      <w:r>
        <w:t xml:space="preserve">.</w:t>
      </w:r>
    </w:p>
    <w:bookmarkEnd w:id="84"/>
    <w:bookmarkStart w:id="86" w:name="ref-popayCurrentStatusArgentine2011"/>
    <w:p>
      <w:pPr>
        <w:pStyle w:val="Bibliography"/>
      </w:pPr>
      <w:r>
        <w:t xml:space="preserve">16.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5">
        <w:r>
          <w:rPr>
            <w:rStyle w:val="InternetLink"/>
          </w:rPr>
          <w:t xml:space="preserve">10.30843/nzpp.2011.64.5962</w:t>
        </w:r>
      </w:hyperlink>
      <w:r>
        <w:t xml:space="preserve">.</w:t>
      </w:r>
    </w:p>
    <w:bookmarkEnd w:id="86"/>
    <w:bookmarkStart w:id="88"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87">
        <w:r>
          <w:rPr>
            <w:rStyle w:val="InternetLink"/>
          </w:rPr>
          <w:t xml:space="preserve">10.3389/fpls.2016.01259</w:t>
        </w:r>
      </w:hyperlink>
      <w:r>
        <w:t xml:space="preserve">.</w:t>
      </w:r>
    </w:p>
    <w:bookmarkEnd w:id="88"/>
    <w:bookmarkStart w:id="90"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89">
        <w:r>
          <w:rPr>
            <w:rStyle w:val="InternetLink"/>
          </w:rPr>
          <w:t xml:space="preserve">10.1073/pnas.1618416114</w:t>
        </w:r>
      </w:hyperlink>
      <w:r>
        <w:t xml:space="preserve">.</w:t>
      </w:r>
    </w:p>
    <w:bookmarkEnd w:id="90"/>
    <w:bookmarkStart w:id="92"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1">
        <w:r>
          <w:rPr>
            <w:rStyle w:val="InternetLink"/>
          </w:rPr>
          <w:t xml:space="preserve">10.1371/journal.pone.0207610</w:t>
        </w:r>
      </w:hyperlink>
      <w:r>
        <w:t xml:space="preserve">.</w:t>
      </w:r>
    </w:p>
    <w:bookmarkEnd w:id="92"/>
    <w:bookmarkStart w:id="94"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3">
        <w:r>
          <w:rPr>
            <w:rStyle w:val="InternetLink"/>
          </w:rPr>
          <w:t xml:space="preserve">10.1126/science.356.6338.570</w:t>
        </w:r>
      </w:hyperlink>
      <w:r>
        <w:t xml:space="preserve">.</w:t>
      </w:r>
    </w:p>
    <w:bookmarkEnd w:id="94"/>
    <w:bookmarkStart w:id="96"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5">
        <w:r>
          <w:rPr>
            <w:rStyle w:val="InternetLink"/>
          </w:rPr>
          <w:t xml:space="preserve">10.1038/hdy.1994.57</w:t>
        </w:r>
      </w:hyperlink>
      <w:r>
        <w:t xml:space="preserve">.</w:t>
      </w:r>
    </w:p>
    <w:bookmarkEnd w:id="96"/>
    <w:bookmarkStart w:id="97" w:name="ref-vinkPCRGutAnalysis2013"/>
    <w:p>
      <w:pPr>
        <w:pStyle w:val="Bibliography"/>
      </w:pPr>
      <w:r>
        <w:t xml:space="preserve">22.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97"/>
    <w:bookmarkStart w:id="99"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98">
        <w:r>
          <w:rPr>
            <w:rStyle w:val="InternetLink"/>
          </w:rPr>
          <w:t xml:space="preserve">10.32614/RJ-2013-014</w:t>
        </w:r>
      </w:hyperlink>
      <w:r>
        <w:t xml:space="preserve">.</w:t>
      </w:r>
    </w:p>
    <w:bookmarkEnd w:id="99"/>
    <w:bookmarkStart w:id="101" w:name="X2e38d12a8f7821f44af6e96d6fadc0444c0e855"/>
    <w:p>
      <w:pPr>
        <w:pStyle w:val="Bibliography"/>
      </w:pPr>
      <w:r>
        <w:t xml:space="preserve">24. Goldson, S.L.; Emberson, R.M. Reproductive morphology of the Argentine stem weevil,</w:t>
      </w:r>
      <w:r>
        <w:t xml:space="preserve"> </w:t>
      </w:r>
      <w:r>
        <w:rPr>
          <w:i/>
        </w:rPr>
        <w:t xml:space="preserve">Hyperodes</w:t>
      </w:r>
      <w:r>
        <w:t xml:space="preserve"> </w:t>
      </w:r>
      <w:r>
        <w:rPr>
          <w:i/>
        </w:rPr>
        <w:t xml:space="preserve">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0">
        <w:r>
          <w:rPr>
            <w:rStyle w:val="InternetLink"/>
          </w:rPr>
          <w:t xml:space="preserve">10.1080/03014223.1981.10427942</w:t>
        </w:r>
      </w:hyperlink>
      <w:r>
        <w:t xml:space="preserve">.</w:t>
      </w:r>
    </w:p>
    <w:bookmarkEnd w:id="101"/>
    <w:bookmarkStart w:id="102"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102"/>
    <w:bookmarkStart w:id="104"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3">
        <w:r>
          <w:rPr>
            <w:rStyle w:val="InternetLink"/>
          </w:rPr>
          <w:t xml:space="preserve">10.1371/journal.pone.0023501</w:t>
        </w:r>
      </w:hyperlink>
      <w:r>
        <w:t xml:space="preserve">.</w:t>
      </w:r>
    </w:p>
    <w:bookmarkEnd w:id="104"/>
    <w:bookmarkStart w:id="106"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5">
        <w:r>
          <w:rPr>
            <w:rStyle w:val="InternetLink"/>
          </w:rPr>
          <w:t xml:space="preserve">http://arxiv.org/abs/1608.01031</w:t>
        </w:r>
      </w:hyperlink>
      <w:r>
        <w:t xml:space="preserve">.</w:t>
      </w:r>
    </w:p>
    <w:bookmarkEnd w:id="106"/>
    <w:bookmarkStart w:id="108"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7">
        <w:r>
          <w:rPr>
            <w:rStyle w:val="InternetLink"/>
          </w:rPr>
          <w:t xml:space="preserve">http://arxiv.org/abs/1703.09852</w:t>
        </w:r>
      </w:hyperlink>
      <w:r>
        <w:t xml:space="preserve">.</w:t>
      </w:r>
    </w:p>
    <w:bookmarkEnd w:id="108"/>
    <w:bookmarkStart w:id="110"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09">
        <w:r>
          <w:rPr>
            <w:rStyle w:val="InternetLink"/>
          </w:rPr>
          <w:t xml:space="preserve">10.17504/protocols.io.pnwdmfe</w:t>
        </w:r>
      </w:hyperlink>
      <w:r>
        <w:t xml:space="preserve">.</w:t>
      </w:r>
    </w:p>
    <w:bookmarkEnd w:id="110"/>
    <w:bookmarkStart w:id="112"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1">
        <w:r>
          <w:rPr>
            <w:rStyle w:val="InternetLink"/>
          </w:rPr>
          <w:t xml:space="preserve">10.1038/s41587-019-0072-8</w:t>
        </w:r>
      </w:hyperlink>
      <w:r>
        <w:t xml:space="preserve">.</w:t>
      </w:r>
    </w:p>
    <w:bookmarkEnd w:id="112"/>
    <w:bookmarkStart w:id="114"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3">
        <w:r>
          <w:rPr>
            <w:rStyle w:val="InternetLink"/>
          </w:rPr>
          <w:t xml:space="preserve">10.1093/bioinformatics/btv351</w:t>
        </w:r>
      </w:hyperlink>
      <w:r>
        <w:t xml:space="preserve">.</w:t>
      </w:r>
    </w:p>
    <w:bookmarkEnd w:id="114"/>
    <w:bookmarkStart w:id="116"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5">
        <w:r>
          <w:rPr>
            <w:rStyle w:val="InternetLink"/>
          </w:rPr>
          <w:t xml:space="preserve">10.1186/s12859-018-2485-7</w:t>
        </w:r>
      </w:hyperlink>
      <w:r>
        <w:t xml:space="preserve">.</w:t>
      </w:r>
    </w:p>
    <w:bookmarkEnd w:id="116"/>
    <w:bookmarkStart w:id="117" w:name="ref-smitRepeatModelerOpen12015"/>
    <w:p>
      <w:pPr>
        <w:pStyle w:val="Bibliography"/>
      </w:pPr>
      <w:r>
        <w:t xml:space="preserve">33. Smit, A.F.A.; Hubley, R. RepeatModeler Open-1.0 2015.</w:t>
      </w:r>
    </w:p>
    <w:bookmarkEnd w:id="117"/>
    <w:bookmarkStart w:id="119" w:name="X73dc34f083a19d3b348e971048f341b1bdb786e"/>
    <w:p>
      <w:pPr>
        <w:pStyle w:val="Bibliography"/>
      </w:pPr>
      <w:r>
        <w:t xml:space="preserve">34. Love, J.; Palmer, J.; Stajich, J.; Esser, T.; Kastman, E.; Bogema, D.; Winter, D. Nextgenusfs/funannotate: Funannotate v1.7.4 2020. doi:</w:t>
      </w:r>
      <w:r>
        <w:t xml:space="preserve"> </w:t>
      </w:r>
      <w:hyperlink r:id="rId118">
        <w:r>
          <w:rPr>
            <w:rStyle w:val="InternetLink"/>
          </w:rPr>
          <w:t xml:space="preserve">10.5281/zenodo.3679386</w:t>
        </w:r>
      </w:hyperlink>
      <w:r>
        <w:t xml:space="preserve">.</w:t>
      </w:r>
    </w:p>
    <w:bookmarkEnd w:id="119"/>
    <w:bookmarkStart w:id="120" w:name="ref-smitRepeatMaskerOpen42015"/>
    <w:p>
      <w:pPr>
        <w:pStyle w:val="Bibliography"/>
      </w:pPr>
      <w:r>
        <w:t xml:space="preserve">35. Smit, A.F.A.; Hubley, R.; Green, P. RepeatMasker Open-4.0. 2015.</w:t>
      </w:r>
    </w:p>
    <w:bookmarkEnd w:id="120"/>
    <w:bookmarkStart w:id="122" w:name="ref-catchenStacksAnalysisTool2013"/>
    <w:p>
      <w:pPr>
        <w:pStyle w:val="Bibliography"/>
      </w:pPr>
      <w:r>
        <w:t xml:space="preserve">36.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21">
        <w:r>
          <w:rPr>
            <w:rStyle w:val="InternetLink"/>
          </w:rPr>
          <w:t xml:space="preserve">10.1111/mec.12354</w:t>
        </w:r>
      </w:hyperlink>
      <w:r>
        <w:t xml:space="preserve">.</w:t>
      </w:r>
    </w:p>
    <w:bookmarkEnd w:id="122"/>
    <w:bookmarkStart w:id="124" w:name="ref-changSecondgenerationPLINKRising2015"/>
    <w:p>
      <w:pPr>
        <w:pStyle w:val="Bibliography"/>
      </w:pPr>
      <w:r>
        <w:t xml:space="preserve">37.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23">
        <w:r>
          <w:rPr>
            <w:rStyle w:val="InternetLink"/>
          </w:rPr>
          <w:t xml:space="preserve">10.1186/s13742-015-0047-8</w:t>
        </w:r>
      </w:hyperlink>
      <w:r>
        <w:t xml:space="preserve">.</w:t>
      </w:r>
    </w:p>
    <w:bookmarkEnd w:id="124"/>
    <w:bookmarkStart w:id="126" w:name="Xf16f5f4cbf3509fd4e35538a6319338d9577d4b"/>
    <w:p>
      <w:pPr>
        <w:pStyle w:val="Bibliography"/>
      </w:pPr>
      <w:r>
        <w:t xml:space="preserve">38.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25">
        <w:r>
          <w:rPr>
            <w:rStyle w:val="InternetLink"/>
          </w:rPr>
          <w:t xml:space="preserve">10.1186/1471-2156-11-94</w:t>
        </w:r>
      </w:hyperlink>
      <w:r>
        <w:t xml:space="preserve">.</w:t>
      </w:r>
    </w:p>
    <w:bookmarkEnd w:id="126"/>
    <w:bookmarkStart w:id="127" w:name="X944291a5f5944668f7560c568ae824042b83be9"/>
    <w:p>
      <w:pPr>
        <w:pStyle w:val="Bibliography"/>
      </w:pPr>
      <w:r>
        <w:t xml:space="preserve">39. R Core Team R: A Language and Environment for Statistical Computing.</w:t>
      </w:r>
      <w:r>
        <w:t xml:space="preserve"> </w:t>
      </w:r>
      <w:r>
        <w:rPr>
          <w:b/>
        </w:rPr>
        <w:t xml:space="preserve">2015</w:t>
      </w:r>
      <w:r>
        <w:t xml:space="preserve">.</w:t>
      </w:r>
    </w:p>
    <w:bookmarkEnd w:id="127"/>
    <w:bookmarkStart w:id="129" w:name="ref-lischerPGDSpiderAutomatedData2012"/>
    <w:p>
      <w:pPr>
        <w:pStyle w:val="Bibliography"/>
      </w:pPr>
      <w:r>
        <w:t xml:space="preserve">40.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28">
        <w:r>
          <w:rPr>
            <w:rStyle w:val="InternetLink"/>
          </w:rPr>
          <w:t xml:space="preserve">10.1093/bioinformatics/btr642</w:t>
        </w:r>
      </w:hyperlink>
      <w:r>
        <w:t xml:space="preserve">.</w:t>
      </w:r>
    </w:p>
    <w:bookmarkEnd w:id="129"/>
    <w:bookmarkStart w:id="131" w:name="ref-follGenomeScanMethodIdentify2008"/>
    <w:p>
      <w:pPr>
        <w:pStyle w:val="Bibliography"/>
      </w:pPr>
      <w:r>
        <w:t xml:space="preserve">41.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0">
        <w:r>
          <w:rPr>
            <w:rStyle w:val="InternetLink"/>
          </w:rPr>
          <w:t xml:space="preserve">10.1534/genetics.108.092221</w:t>
        </w:r>
      </w:hyperlink>
      <w:r>
        <w:t xml:space="preserve">.</w:t>
      </w:r>
    </w:p>
    <w:bookmarkEnd w:id="131"/>
    <w:bookmarkStart w:id="133" w:name="ref-delaneauLinearComplexityPhasing2012"/>
    <w:p>
      <w:pPr>
        <w:pStyle w:val="Bibliography"/>
      </w:pPr>
      <w:r>
        <w:t xml:space="preserve">42.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32">
        <w:r>
          <w:rPr>
            <w:rStyle w:val="InternetLink"/>
          </w:rPr>
          <w:t xml:space="preserve">10.1038/nmeth.1785</w:t>
        </w:r>
      </w:hyperlink>
      <w:r>
        <w:t xml:space="preserve">.</w:t>
      </w:r>
    </w:p>
    <w:bookmarkEnd w:id="133"/>
    <w:bookmarkStart w:id="135" w:name="X558db7f706eb8c58d07748d989cb3b57ad63663"/>
    <w:p>
      <w:pPr>
        <w:pStyle w:val="Bibliography"/>
      </w:pPr>
      <w:r>
        <w:t xml:space="preserve">43.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34">
        <w:r>
          <w:rPr>
            <w:rStyle w:val="InternetLink"/>
          </w:rPr>
          <w:t xml:space="preserve">10.1111/1755-0998.12634</w:t>
        </w:r>
      </w:hyperlink>
      <w:r>
        <w:t xml:space="preserve">.</w:t>
      </w:r>
    </w:p>
    <w:bookmarkEnd w:id="135"/>
    <w:bookmarkStart w:id="137" w:name="X1181bd8a553d276a10477cca76492dcf5bcc67e"/>
    <w:p>
      <w:pPr>
        <w:pStyle w:val="Bibliography"/>
      </w:pPr>
      <w:r>
        <w:t xml:space="preserve">44.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36">
        <w:r>
          <w:rPr>
            <w:rStyle w:val="InternetLink"/>
          </w:rPr>
          <w:t xml:space="preserve">10.1371/journal.pgen.1003905</w:t>
        </w:r>
      </w:hyperlink>
      <w:r>
        <w:t xml:space="preserve">.</w:t>
      </w:r>
    </w:p>
    <w:bookmarkEnd w:id="137"/>
    <w:bookmarkStart w:id="139" w:name="X2e700f92c6894ae11db64f79d26700cf6bc7cef"/>
    <w:p>
      <w:pPr>
        <w:pStyle w:val="Bibliography"/>
      </w:pPr>
      <w:r>
        <w:t xml:space="preserve">45.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38">
        <w:r>
          <w:rPr>
            <w:rStyle w:val="InternetLink"/>
          </w:rPr>
          <w:t xml:space="preserve">10.1093/bioinformatics/bts480</w:t>
        </w:r>
      </w:hyperlink>
      <w:r>
        <w:t xml:space="preserve">.</w:t>
      </w:r>
    </w:p>
    <w:bookmarkEnd w:id="139"/>
    <w:bookmarkStart w:id="141" w:name="X86f5b1c0410ab16c725f5c26d810badc87f678c"/>
    <w:p>
      <w:pPr>
        <w:pStyle w:val="Bibliography"/>
      </w:pPr>
      <w:r>
        <w:t xml:space="preserve">46.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0">
        <w:r>
          <w:rPr>
            <w:rStyle w:val="InternetLink"/>
          </w:rPr>
          <w:t xml:space="preserve">10.1371/journal.pone.0177459</w:t>
        </w:r>
      </w:hyperlink>
      <w:r>
        <w:t xml:space="preserve">.</w:t>
      </w:r>
    </w:p>
    <w:bookmarkEnd w:id="141"/>
    <w:bookmarkStart w:id="143" w:name="X7e5d3b19ecae1eb3c11e14192d9ddf88629ea2e"/>
    <w:p>
      <w:pPr>
        <w:pStyle w:val="Bibliography"/>
      </w:pPr>
      <w:r>
        <w:t xml:space="preserve">47.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42">
        <w:r>
          <w:rPr>
            <w:rStyle w:val="InternetLink"/>
          </w:rPr>
          <w:t xml:space="preserve">10.1371/journal.pone.0019379</w:t>
        </w:r>
      </w:hyperlink>
      <w:r>
        <w:t xml:space="preserve">.</w:t>
      </w:r>
    </w:p>
    <w:bookmarkEnd w:id="143"/>
    <w:bookmarkStart w:id="145" w:name="X259490a536993ee18fe42d2f01f35b49a29d243"/>
    <w:p>
      <w:pPr>
        <w:pStyle w:val="Bibliography"/>
      </w:pPr>
      <w:r>
        <w:t xml:space="preserve">48.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44">
        <w:r>
          <w:rPr>
            <w:rStyle w:val="InternetLink"/>
          </w:rPr>
          <w:t xml:space="preserve">10.1038/nature06250</w:t>
        </w:r>
      </w:hyperlink>
      <w:r>
        <w:t xml:space="preserve">.</w:t>
      </w:r>
    </w:p>
    <w:bookmarkEnd w:id="145"/>
    <w:bookmarkStart w:id="147" w:name="ref-gautierRehhPackageDetect2012"/>
    <w:p>
      <w:pPr>
        <w:pStyle w:val="Bibliography"/>
      </w:pPr>
      <w:r>
        <w:t xml:space="preserve">49.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46">
        <w:r>
          <w:rPr>
            <w:rStyle w:val="InternetLink"/>
          </w:rPr>
          <w:t xml:space="preserve">10.1093/bioinformatics/bts115</w:t>
        </w:r>
      </w:hyperlink>
      <w:r>
        <w:t xml:space="preserve">.</w:t>
      </w:r>
    </w:p>
    <w:bookmarkEnd w:id="147"/>
    <w:bookmarkStart w:id="149" w:name="X9fa862798d3749e81f2326cd887be723121f572"/>
    <w:p>
      <w:pPr>
        <w:pStyle w:val="Bibliography"/>
      </w:pPr>
      <w:r>
        <w:t xml:space="preserve">50.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48">
        <w:r>
          <w:rPr>
            <w:rStyle w:val="InternetLink"/>
          </w:rPr>
          <w:t xml:space="preserve">10.1016/0169-5347(94)90079-5</w:t>
        </w:r>
      </w:hyperlink>
      <w:r>
        <w:t xml:space="preserve">.</w:t>
      </w:r>
    </w:p>
    <w:bookmarkEnd w:id="149"/>
    <w:bookmarkStart w:id="151" w:name="ref-greenCisTransactingVariants2019"/>
    <w:p>
      <w:pPr>
        <w:pStyle w:val="Bibliography"/>
      </w:pPr>
      <w:r>
        <w:t xml:space="preserve">51.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50">
        <w:r>
          <w:rPr>
            <w:rStyle w:val="InternetLink"/>
          </w:rPr>
          <w:t xml:space="preserve">10.1073/pnas.1821713116</w:t>
        </w:r>
      </w:hyperlink>
      <w:r>
        <w:t xml:space="preserve">.</w:t>
      </w:r>
    </w:p>
    <w:bookmarkEnd w:id="151"/>
    <w:bookmarkStart w:id="153" w:name="ref-vegaDraftGenomeMost2015"/>
    <w:p>
      <w:pPr>
        <w:pStyle w:val="Bibliography"/>
      </w:pPr>
      <w:r>
        <w:t xml:space="preserve">52.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52">
        <w:r>
          <w:rPr>
            <w:rStyle w:val="InternetLink"/>
          </w:rPr>
          <w:t xml:space="preserve">10.1038/srep12525</w:t>
        </w:r>
      </w:hyperlink>
      <w:r>
        <w:t xml:space="preserve">.</w:t>
      </w:r>
    </w:p>
    <w:bookmarkEnd w:id="153"/>
    <w:bookmarkStart w:id="155" w:name="ref-keelingDraftGenomeMountain2013"/>
    <w:p>
      <w:pPr>
        <w:pStyle w:val="Bibliography"/>
      </w:pPr>
      <w:r>
        <w:t xml:space="preserve">53.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54">
        <w:r>
          <w:rPr>
            <w:rStyle w:val="InternetLink"/>
          </w:rPr>
          <w:t xml:space="preserve">10.1186/gb-2013-14-3-r27</w:t>
        </w:r>
      </w:hyperlink>
      <w:r>
        <w:t xml:space="preserve">.</w:t>
      </w:r>
    </w:p>
    <w:bookmarkEnd w:id="155"/>
    <w:bookmarkEnd w:id="156"/>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2020-05-21T21:59:26Z</dcterms:created>
  <dcterms:modified xsi:type="dcterms:W3CDTF">2020-05-21T21:59:26Z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